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19119</w:t>
      </w:r>
      <w:bookmarkStart w:id="4" w:name="_GoBack"/>
      <w:bookmarkEnd w:id="4"/>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w:t>
      </w:r>
      <w:bookmarkEnd w:id="0"/>
      <w:r>
        <w:rPr>
          <w:rFonts w:hint="eastAsia" w:eastAsia="宋体"/>
          <w:color w:val="auto"/>
          <w:sz w:val="24"/>
          <w:lang w:val="en-US" w:eastAsia="zh-CN"/>
        </w:rPr>
        <w:t>Additional requirement for multi-panel reception</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8.19.2.1</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100 e-meeting, one WF [1] was approved, the agreements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rPr>
                <w:rFonts w:hint="default" w:eastAsia="宋体"/>
                <w:b/>
                <w:bCs/>
                <w:color w:val="auto"/>
                <w:sz w:val="21"/>
                <w:szCs w:val="21"/>
                <w:vertAlign w:val="baseline"/>
                <w:lang w:val="en-US" w:eastAsia="zh-CN"/>
              </w:rPr>
            </w:pPr>
            <w:bookmarkStart w:id="1" w:name="OLE_LINK1"/>
            <w:r>
              <w:rPr>
                <w:rFonts w:hint="eastAsia" w:eastAsia="宋体"/>
                <w:b/>
                <w:bCs/>
                <w:color w:val="auto"/>
                <w:sz w:val="21"/>
                <w:szCs w:val="21"/>
                <w:vertAlign w:val="baseline"/>
                <w:lang w:val="en-US" w:eastAsia="zh-CN"/>
              </w:rPr>
              <w:t>Impact for multi-panel reception</w:t>
            </w:r>
          </w:p>
          <w:bookmarkEnd w:id="1"/>
          <w:p>
            <w:pPr>
              <w:tabs>
                <w:tab w:val="left" w:pos="1800"/>
              </w:tabs>
              <w:ind w:firstLine="400" w:firstLineChars="200"/>
              <w:rPr>
                <w:sz w:val="20"/>
                <w:szCs w:val="20"/>
                <w:highlight w:val="green"/>
              </w:rPr>
            </w:pPr>
            <w:r>
              <w:rPr>
                <w:rFonts w:hint="eastAsia"/>
                <w:sz w:val="20"/>
                <w:szCs w:val="20"/>
                <w:highlight w:val="green"/>
              </w:rPr>
              <w:t>A</w:t>
            </w:r>
            <w:r>
              <w:rPr>
                <w:sz w:val="20"/>
                <w:szCs w:val="20"/>
                <w:highlight w:val="green"/>
              </w:rPr>
              <w:t xml:space="preserve">greement: </w:t>
            </w:r>
          </w:p>
          <w:p>
            <w:pPr>
              <w:pStyle w:val="26"/>
              <w:numPr>
                <w:ilvl w:val="0"/>
                <w:numId w:val="4"/>
              </w:numPr>
              <w:ind w:firstLineChars="0"/>
              <w:rPr>
                <w:rFonts w:eastAsia="Malgun Gothic"/>
                <w:highlight w:val="none"/>
                <w:lang w:val="sv-SE" w:eastAsia="ko-KR"/>
              </w:rPr>
            </w:pPr>
            <w:bookmarkStart w:id="2" w:name="_Hlk80649094"/>
            <w:r>
              <w:rPr>
                <w:rFonts w:hint="eastAsia" w:eastAsia="Malgun Gothic"/>
                <w:highlight w:val="none"/>
                <w:lang w:val="sv-SE" w:eastAsia="ko-KR"/>
              </w:rPr>
              <w:t xml:space="preserve">RAN4 </w:t>
            </w:r>
            <w:r>
              <w:rPr>
                <w:rFonts w:eastAsia="Malgun Gothic"/>
                <w:highlight w:val="none"/>
                <w:lang w:val="sv-SE" w:eastAsia="ko-KR"/>
              </w:rPr>
              <w:t>will further determine if additional requirement is required for the multi-panel reception</w:t>
            </w:r>
            <w:bookmarkEnd w:id="2"/>
          </w:p>
          <w:p>
            <w:pPr>
              <w:pStyle w:val="26"/>
              <w:numPr>
                <w:ilvl w:val="0"/>
                <w:numId w:val="4"/>
              </w:numPr>
              <w:ind w:firstLineChars="0"/>
              <w:rPr>
                <w:rFonts w:eastAsia="Malgun Gothic"/>
                <w:highlight w:val="none"/>
                <w:lang w:val="sv-SE" w:eastAsia="ko-KR"/>
              </w:rPr>
            </w:pPr>
            <w:r>
              <w:rPr>
                <w:rFonts w:eastAsia="Malgun Gothic"/>
                <w:highlight w:val="none"/>
                <w:lang w:val="sv-SE" w:eastAsia="ko-KR"/>
              </w:rPr>
              <w:t>The RF impact for the multi-panel UE will be discussed in in RAN4#101-e based on the contribution</w:t>
            </w:r>
          </w:p>
          <w:p>
            <w:pPr>
              <w:pStyle w:val="26"/>
              <w:numPr>
                <w:ilvl w:val="1"/>
                <w:numId w:val="4"/>
              </w:numPr>
              <w:ind w:firstLineChars="0"/>
              <w:rPr>
                <w:rFonts w:eastAsia="Malgun Gothic"/>
                <w:highlight w:val="none"/>
                <w:lang w:val="sv-SE" w:eastAsia="ko-KR"/>
              </w:rPr>
            </w:pPr>
            <w:r>
              <w:rPr>
                <w:rFonts w:eastAsia="Yu Mincho"/>
                <w:highlight w:val="none"/>
                <w:lang w:val="sv-SE" w:eastAsia="ja-JP"/>
              </w:rPr>
              <w:t>Aim is to decide on the impact in RAN4#101-e given the time limitation</w:t>
            </w:r>
          </w:p>
          <w:p>
            <w:pPr>
              <w:numPr>
                <w:ilvl w:val="0"/>
                <w:numId w:val="0"/>
              </w:numPr>
              <w:autoSpaceDE w:val="0"/>
              <w:autoSpaceDN w:val="0"/>
              <w:adjustRightInd w:val="0"/>
              <w:spacing w:after="0"/>
              <w:rPr>
                <w:rFonts w:hint="eastAsia" w:eastAsia="宋体"/>
                <w:b/>
                <w:bCs/>
                <w:color w:val="auto"/>
                <w:sz w:val="21"/>
                <w:szCs w:val="21"/>
                <w:vertAlign w:val="baseline"/>
                <w:lang w:val="en-US" w:eastAsia="zh-CN"/>
              </w:rPr>
            </w:pPr>
            <w:r>
              <w:rPr>
                <w:rFonts w:hint="eastAsia" w:eastAsia="宋体"/>
                <w:b/>
                <w:bCs/>
                <w:color w:val="auto"/>
                <w:sz w:val="21"/>
                <w:szCs w:val="21"/>
                <w:vertAlign w:val="baseline"/>
                <w:lang w:val="en-US" w:eastAsia="zh-CN"/>
              </w:rPr>
              <w:t>Impact for MPE</w:t>
            </w:r>
          </w:p>
          <w:p>
            <w:pPr>
              <w:tabs>
                <w:tab w:val="left" w:pos="1800"/>
              </w:tabs>
              <w:ind w:firstLine="400" w:firstLineChars="200"/>
              <w:rPr>
                <w:sz w:val="20"/>
                <w:szCs w:val="20"/>
                <w:highlight w:val="green"/>
              </w:rPr>
            </w:pPr>
            <w:r>
              <w:rPr>
                <w:rFonts w:hint="eastAsia"/>
                <w:sz w:val="20"/>
                <w:szCs w:val="20"/>
                <w:highlight w:val="green"/>
              </w:rPr>
              <w:t>A</w:t>
            </w:r>
            <w:r>
              <w:rPr>
                <w:sz w:val="20"/>
                <w:szCs w:val="20"/>
                <w:highlight w:val="green"/>
              </w:rPr>
              <w:t xml:space="preserve">greement: </w:t>
            </w:r>
          </w:p>
          <w:p>
            <w:pPr>
              <w:pStyle w:val="26"/>
              <w:numPr>
                <w:ilvl w:val="0"/>
                <w:numId w:val="4"/>
              </w:numPr>
              <w:ind w:firstLineChars="0"/>
              <w:rPr>
                <w:highlight w:val="none"/>
                <w:lang w:val="sv-SE" w:eastAsia="zh-CN"/>
              </w:rPr>
            </w:pPr>
            <w:r>
              <w:rPr>
                <w:rFonts w:eastAsia="Malgun Gothic"/>
                <w:highlight w:val="none"/>
                <w:lang w:val="en-US" w:eastAsia="ko-KR"/>
              </w:rPr>
              <w:t>It would be little impact to RAN4 such as adding notes, if needed, even though those are finally introduced in RAN1</w:t>
            </w:r>
          </w:p>
          <w:p>
            <w:pPr>
              <w:pStyle w:val="26"/>
              <w:numPr>
                <w:ilvl w:val="0"/>
                <w:numId w:val="4"/>
              </w:numPr>
              <w:ind w:firstLineChars="0"/>
              <w:rPr>
                <w:highlight w:val="none"/>
                <w:lang w:val="sv-SE" w:eastAsia="zh-CN"/>
              </w:rPr>
            </w:pPr>
            <w:bookmarkStart w:id="3" w:name="_Hlk80838131"/>
            <w:r>
              <w:rPr>
                <w:rFonts w:eastAsiaTheme="minorEastAsia"/>
                <w:highlight w:val="none"/>
                <w:lang w:val="en-US" w:eastAsia="zh-CN"/>
              </w:rPr>
              <w:t>Companies are encouraged to check and analyze the RAN4 impact of the MPE enhancements considering the RAN1 progress in the next meeting</w:t>
            </w:r>
          </w:p>
          <w:bookmarkEnd w:id="3"/>
          <w:p>
            <w:pPr>
              <w:numPr>
                <w:ilvl w:val="0"/>
                <w:numId w:val="0"/>
              </w:numPr>
              <w:autoSpaceDE w:val="0"/>
              <w:autoSpaceDN w:val="0"/>
              <w:adjustRightInd w:val="0"/>
              <w:spacing w:after="0"/>
              <w:rPr>
                <w:rFonts w:hint="eastAsia" w:eastAsia="宋体"/>
                <w:b/>
                <w:bCs/>
                <w:color w:val="auto"/>
                <w:sz w:val="21"/>
                <w:szCs w:val="21"/>
                <w:vertAlign w:val="baseline"/>
                <w:lang w:val="en-US" w:eastAsia="zh-CN"/>
              </w:rPr>
            </w:pPr>
            <w:r>
              <w:rPr>
                <w:rFonts w:hint="eastAsia" w:eastAsia="宋体"/>
                <w:b/>
                <w:bCs/>
                <w:color w:val="auto"/>
                <w:sz w:val="21"/>
                <w:szCs w:val="21"/>
                <w:vertAlign w:val="baseline"/>
                <w:lang w:val="en-US" w:eastAsia="zh-CN"/>
              </w:rPr>
              <w:t>Impact for SRS enhancement</w:t>
            </w:r>
          </w:p>
          <w:p>
            <w:pPr>
              <w:tabs>
                <w:tab w:val="left" w:pos="1800"/>
              </w:tabs>
              <w:ind w:firstLine="400" w:firstLineChars="200"/>
              <w:rPr>
                <w:sz w:val="20"/>
                <w:szCs w:val="20"/>
                <w:highlight w:val="green"/>
              </w:rPr>
            </w:pPr>
            <w:r>
              <w:rPr>
                <w:rFonts w:hint="eastAsia"/>
                <w:sz w:val="20"/>
                <w:szCs w:val="20"/>
                <w:highlight w:val="green"/>
              </w:rPr>
              <w:t>A</w:t>
            </w:r>
            <w:r>
              <w:rPr>
                <w:sz w:val="20"/>
                <w:szCs w:val="20"/>
                <w:highlight w:val="green"/>
              </w:rPr>
              <w:t xml:space="preserve">greement: </w:t>
            </w:r>
          </w:p>
          <w:p>
            <w:pPr>
              <w:pStyle w:val="26"/>
              <w:numPr>
                <w:ilvl w:val="0"/>
                <w:numId w:val="4"/>
              </w:numPr>
              <w:ind w:firstLineChars="0"/>
              <w:rPr>
                <w:highlight w:val="none"/>
                <w:lang w:val="sv-SE" w:eastAsia="zh-CN"/>
              </w:rPr>
            </w:pPr>
            <w:r>
              <w:rPr>
                <w:rFonts w:eastAsia="Malgun Gothic"/>
                <w:highlight w:val="none"/>
                <w:lang w:val="sv-SE" w:eastAsia="ko-KR"/>
              </w:rPr>
              <w:t xml:space="preserve">RAN4 will further discuss if </w:t>
            </w:r>
            <w:r>
              <w:rPr>
                <w:rFonts w:eastAsia="Malgun Gothic"/>
                <w:highlight w:val="none"/>
                <w:lang w:val="en-US" w:eastAsia="ko-KR"/>
              </w:rPr>
              <w:t>there is any SRS related impact in Rel-17</w:t>
            </w:r>
          </w:p>
          <w:p>
            <w:pPr>
              <w:pStyle w:val="26"/>
              <w:numPr>
                <w:ilvl w:val="0"/>
                <w:numId w:val="4"/>
              </w:numPr>
              <w:ind w:firstLineChars="0"/>
              <w:rPr>
                <w:rFonts w:hint="default" w:ascii="Times New Roman" w:hAnsi="Times New Roman" w:cs="Times New Roman"/>
                <w:sz w:val="20"/>
                <w:szCs w:val="20"/>
                <w:lang w:val="en-US" w:eastAsia="zh-CN"/>
              </w:rPr>
            </w:pPr>
            <w:r>
              <w:rPr>
                <w:rFonts w:eastAsiaTheme="minorEastAsia"/>
                <w:highlight w:val="none"/>
                <w:lang w:val="en-US" w:eastAsia="zh-CN"/>
              </w:rPr>
              <w:t xml:space="preserve">It will be concluded in RAN4#101-e based on the discussion given the time limitation </w:t>
            </w:r>
            <w:r>
              <w:rPr>
                <w:rFonts w:ascii="Times New Roman" w:hAnsi="Times New Roman" w:cs="Times New Roman"/>
                <w:sz w:val="20"/>
                <w:szCs w:val="20"/>
                <w:highlight w:val="none"/>
              </w:rPr>
              <w:t xml:space="preserve">  </w:t>
            </w:r>
          </w:p>
        </w:tc>
      </w:tr>
    </w:tbl>
    <w:p>
      <w:pPr>
        <w:pStyle w:val="3"/>
        <w:numPr>
          <w:ilvl w:val="0"/>
          <w:numId w:val="0"/>
        </w:numPr>
        <w:tabs>
          <w:tab w:val="left" w:pos="226"/>
          <w:tab w:val="left" w:pos="284"/>
          <w:tab w:val="left" w:pos="5103"/>
        </w:tabs>
        <w:snapToGrid w:val="0"/>
        <w:spacing w:before="156" w:beforeLines="50"/>
        <w:ind w:leftChars="0"/>
        <w:rPr>
          <w:rFonts w:hint="default" w:eastAsia="宋体"/>
          <w:color w:val="auto"/>
          <w:sz w:val="21"/>
          <w:szCs w:val="21"/>
          <w:lang w:val="en-US" w:eastAsia="zh-CN"/>
        </w:rPr>
      </w:pPr>
      <w:r>
        <w:rPr>
          <w:rFonts w:hint="eastAsia" w:eastAsia="宋体"/>
          <w:color w:val="auto"/>
          <w:sz w:val="21"/>
          <w:szCs w:val="21"/>
          <w:lang w:val="en-US" w:eastAsia="zh-CN"/>
        </w:rPr>
        <w:t xml:space="preserve">According to the conclusions achieved during 100 e-meeting, we will provide our further analysis focus on the RF impact of multi-panel reception.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 for the number of receiving panel, although it is not declared in the specification, actually the FR2 UE requirements are specified orienting toward single-panel UE in Rel-15. </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in order to support multi-TRP scenario, some enhancements for receiving beam/panel were achieved:</w:t>
      </w:r>
    </w:p>
    <w:p>
      <w:pPr>
        <w:numPr>
          <w:ilvl w:val="0"/>
          <w:numId w:val="5"/>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5"/>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But no enhanced RAN4 requirements were defined for FR2 UEs. Theoretically, if the UE can receive signals by multiple panels at the same time, the EIS sphere coverage of the receiver requirements needs to be enhanced possibly, but Rel-16 does not introduce any enhancement for the use case of multi-TRP scenario.</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the enhancement of FR2 inter-band CA with IBM/CBM was also discussed. The following enhancement were achieved:</w:t>
      </w:r>
    </w:p>
    <w:p>
      <w:pPr>
        <w:numPr>
          <w:ilvl w:val="0"/>
          <w:numId w:val="5"/>
        </w:numPr>
        <w:tabs>
          <w:tab w:val="clear" w:pos="420"/>
        </w:tabs>
        <w:ind w:left="840" w:leftChars="0" w:hanging="420" w:firstLineChars="0"/>
        <w:jc w:val="both"/>
        <w:rPr>
          <w:rFonts w:hint="default"/>
          <w:lang w:val="en-US" w:eastAsia="zh-CN"/>
        </w:rPr>
      </w:pPr>
      <w:r>
        <w:rPr>
          <w:rFonts w:hint="eastAsia"/>
          <w:lang w:val="en-US" w:eastAsia="zh-CN"/>
        </w:rPr>
        <w:t xml:space="preserve">Support of IBM and CBM framework with simultaneous reception on different component carriers from the co-located and non-col-located TRPs was defined in RAN4. The corresponding UE capability is </w:t>
      </w:r>
      <w:r>
        <w:rPr>
          <w:b/>
          <w:i/>
        </w:rPr>
        <w:t>beamManagementType-r16</w:t>
      </w:r>
      <w:r>
        <w:rPr>
          <w:rFonts w:hint="eastAsia"/>
          <w:lang w:val="en-US" w:eastAsia="zh-CN"/>
        </w:rPr>
        <w:t>;</w:t>
      </w:r>
    </w:p>
    <w:p>
      <w:pPr>
        <w:numPr>
          <w:ilvl w:val="0"/>
          <w:numId w:val="5"/>
        </w:numPr>
        <w:tabs>
          <w:tab w:val="clear" w:pos="420"/>
        </w:tabs>
        <w:ind w:left="840" w:leftChars="0" w:hanging="420" w:firstLineChars="0"/>
        <w:jc w:val="both"/>
        <w:rPr>
          <w:rFonts w:hint="eastAsia"/>
          <w:lang w:val="en-US" w:eastAsia="zh-CN"/>
        </w:rPr>
      </w:pPr>
      <w:r>
        <w:rPr>
          <w:rFonts w:hint="eastAsia"/>
          <w:lang w:val="en-US" w:eastAsia="zh-CN"/>
        </w:rPr>
        <w:t>IBM concept implies simultaneous reception on different UE panels using separate beams on different component carriers and requires improved UE baseband and RF capabilities(multiple BB chains and support of multiple antenna panels);</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From the perspective of UE reception, we believe the operation of UE is very similar between multi-panel receiving for multi-TRP scenario and for co-located inter-band CA with IBM case. So the discuss of EIS spherical coverage requirement enhancement during Rel-16 inter-band CA can be as a good reference for our discuss here.   </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Overview the Rel-16 inter-band CA</w:t>
      </w:r>
      <w:r>
        <w:rPr>
          <w:rFonts w:hint="default" w:eastAsia="宋体"/>
          <w:color w:val="auto"/>
          <w:sz w:val="21"/>
          <w:szCs w:val="21"/>
          <w:lang w:val="en-US" w:eastAsia="zh-CN"/>
        </w:rPr>
        <w:t xml:space="preserve"> discussion, due to the beam squint </w:t>
      </w:r>
      <w:r>
        <w:rPr>
          <w:rFonts w:hint="eastAsia" w:eastAsia="宋体"/>
          <w:color w:val="auto"/>
          <w:sz w:val="21"/>
          <w:szCs w:val="21"/>
          <w:lang w:val="en-US" w:eastAsia="zh-CN"/>
        </w:rPr>
        <w:t xml:space="preserve">issue </w:t>
      </w:r>
      <w:r>
        <w:rPr>
          <w:rFonts w:hint="default" w:eastAsia="宋体"/>
          <w:color w:val="auto"/>
          <w:sz w:val="21"/>
          <w:szCs w:val="21"/>
          <w:lang w:val="en-US" w:eastAsia="zh-CN"/>
        </w:rPr>
        <w:t xml:space="preserve">in the CA scenario, </w:t>
      </w:r>
      <w:r>
        <w:rPr>
          <w:rFonts w:hint="eastAsia" w:eastAsia="宋体"/>
          <w:color w:val="auto"/>
          <w:sz w:val="21"/>
          <w:szCs w:val="21"/>
          <w:lang w:val="en-US" w:eastAsia="zh-CN"/>
        </w:rPr>
        <w:t>the</w:t>
      </w:r>
      <w:r>
        <w:rPr>
          <w:rFonts w:hint="default" w:eastAsia="宋体"/>
          <w:color w:val="auto"/>
          <w:sz w:val="21"/>
          <w:szCs w:val="21"/>
          <w:lang w:val="en-US" w:eastAsia="zh-CN"/>
        </w:rPr>
        <w:t xml:space="preserve"> relaxation</w:t>
      </w:r>
      <w:r>
        <w:rPr>
          <w:rFonts w:hint="eastAsia" w:eastAsia="宋体"/>
          <w:color w:val="auto"/>
          <w:sz w:val="21"/>
          <w:szCs w:val="21"/>
          <w:lang w:val="en-US" w:eastAsia="zh-CN"/>
        </w:rPr>
        <w:t xml:space="preserve"> for receiver requirements</w:t>
      </w:r>
      <w:r>
        <w:rPr>
          <w:rFonts w:hint="default" w:eastAsia="宋体"/>
          <w:color w:val="auto"/>
          <w:sz w:val="21"/>
          <w:szCs w:val="21"/>
          <w:lang w:val="en-US" w:eastAsia="zh-CN"/>
        </w:rPr>
        <w:t>(</w:t>
      </w:r>
      <w:r>
        <w:rPr>
          <w:rFonts w:hint="eastAsia" w:eastAsia="宋体"/>
          <w:color w:val="auto"/>
          <w:sz w:val="21"/>
          <w:szCs w:val="21"/>
          <w:lang w:val="en-US" w:eastAsia="zh-CN"/>
        </w:rPr>
        <w:t xml:space="preserve">for both </w:t>
      </w:r>
      <w:r>
        <w:rPr>
          <w:rFonts w:hint="default" w:eastAsia="宋体"/>
          <w:color w:val="auto"/>
          <w:sz w:val="21"/>
          <w:szCs w:val="21"/>
          <w:lang w:val="en-US" w:eastAsia="zh-CN"/>
        </w:rPr>
        <w:t xml:space="preserve">peak EIS and EIS spherical coverage) </w:t>
      </w:r>
      <w:r>
        <w:rPr>
          <w:rFonts w:hint="eastAsia" w:eastAsia="宋体"/>
          <w:color w:val="auto"/>
          <w:sz w:val="21"/>
          <w:szCs w:val="21"/>
          <w:lang w:val="en-US" w:eastAsia="zh-CN"/>
        </w:rPr>
        <w:t>were</w:t>
      </w:r>
      <w:r>
        <w:rPr>
          <w:rFonts w:hint="default" w:eastAsia="宋体"/>
          <w:color w:val="auto"/>
          <w:sz w:val="21"/>
          <w:szCs w:val="21"/>
          <w:lang w:val="en-US" w:eastAsia="zh-CN"/>
        </w:rPr>
        <w:t xml:space="preserve"> introduced. The value of </w:t>
      </w:r>
      <w:r>
        <w:rPr>
          <w:rFonts w:hint="eastAsia" w:eastAsia="宋体"/>
          <w:color w:val="auto"/>
          <w:sz w:val="21"/>
          <w:szCs w:val="21"/>
          <w:lang w:val="en-US" w:eastAsia="zh-CN"/>
        </w:rPr>
        <w:t xml:space="preserve">such </w:t>
      </w:r>
      <w:r>
        <w:rPr>
          <w:rFonts w:hint="default" w:eastAsia="宋体"/>
          <w:color w:val="auto"/>
          <w:sz w:val="21"/>
          <w:szCs w:val="21"/>
          <w:lang w:val="en-US" w:eastAsia="zh-CN"/>
        </w:rPr>
        <w:t xml:space="preserve">relaxation </w:t>
      </w:r>
      <w:r>
        <w:rPr>
          <w:rFonts w:hint="eastAsia" w:eastAsia="宋体"/>
          <w:color w:val="auto"/>
          <w:sz w:val="21"/>
          <w:szCs w:val="21"/>
          <w:lang w:val="en-US" w:eastAsia="zh-CN"/>
        </w:rPr>
        <w:t xml:space="preserve">would varies </w:t>
      </w:r>
      <w:r>
        <w:rPr>
          <w:rFonts w:hint="default" w:eastAsia="宋体"/>
          <w:color w:val="auto"/>
          <w:sz w:val="21"/>
          <w:szCs w:val="21"/>
          <w:lang w:val="en-US" w:eastAsia="zh-CN"/>
        </w:rPr>
        <w:t xml:space="preserve">with the distance between two </w:t>
      </w:r>
      <w:r>
        <w:rPr>
          <w:rFonts w:hint="eastAsia" w:eastAsia="宋体"/>
          <w:color w:val="auto"/>
          <w:sz w:val="21"/>
          <w:szCs w:val="21"/>
          <w:lang w:val="en-US" w:eastAsia="zh-CN"/>
        </w:rPr>
        <w:t xml:space="preserve">cells </w:t>
      </w:r>
      <w:r>
        <w:rPr>
          <w:rFonts w:hint="default" w:eastAsia="宋体"/>
          <w:color w:val="auto"/>
          <w:sz w:val="21"/>
          <w:szCs w:val="21"/>
          <w:lang w:val="en-US" w:eastAsia="zh-CN"/>
        </w:rPr>
        <w:t xml:space="preserve">in the frequency domain. For Inter-band CA, in addition to CA relaxation, </w:t>
      </w:r>
      <w:r>
        <w:rPr>
          <w:rFonts w:hint="eastAsia" w:eastAsia="宋体"/>
          <w:color w:val="auto"/>
          <w:sz w:val="21"/>
          <w:szCs w:val="21"/>
          <w:lang w:val="en-US" w:eastAsia="zh-CN"/>
        </w:rPr>
        <w:t xml:space="preserve">additional </w:t>
      </w:r>
      <w:r>
        <w:rPr>
          <w:rFonts w:hint="default" w:eastAsia="宋体"/>
          <w:color w:val="auto"/>
          <w:sz w:val="21"/>
          <w:szCs w:val="21"/>
          <w:lang w:val="en-US" w:eastAsia="zh-CN"/>
        </w:rPr>
        <w:t xml:space="preserve">inter-band CA relaxation </w:t>
      </w:r>
      <w:r>
        <w:rPr>
          <w:rFonts w:hint="eastAsia" w:eastAsia="宋体"/>
          <w:color w:val="auto"/>
          <w:sz w:val="21"/>
          <w:szCs w:val="21"/>
          <w:lang w:val="en-US" w:eastAsia="zh-CN"/>
        </w:rPr>
        <w:t xml:space="preserve">was added which </w:t>
      </w:r>
      <w:r>
        <w:rPr>
          <w:rFonts w:hint="default" w:eastAsia="宋体"/>
          <w:color w:val="auto"/>
          <w:sz w:val="21"/>
          <w:szCs w:val="21"/>
          <w:lang w:val="en-US" w:eastAsia="zh-CN"/>
        </w:rPr>
        <w:t>caused by the introduction of additional components.</w:t>
      </w:r>
      <w:r>
        <w:rPr>
          <w:rFonts w:hint="eastAsia" w:eastAsia="宋体"/>
          <w:color w:val="auto"/>
          <w:sz w:val="21"/>
          <w:szCs w:val="21"/>
          <w:lang w:val="en-US" w:eastAsia="zh-CN"/>
        </w:rPr>
        <w:t xml:space="preserve"> </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After reviewing the previous discussion during Rel-16, return to the multi-panel receiving here, the beam squint issue and additional components issue mentioned above no longer exist. So, we can not find the necessity for enhancing EIS spherical coverage or other receiver requirements. </w:t>
      </w:r>
    </w:p>
    <w:p>
      <w:pPr>
        <w:numPr>
          <w:ilvl w:val="0"/>
          <w:numId w:val="0"/>
        </w:numPr>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1: Not need to enhance receiver requirement for multi-panel reception unless the necessity can be found.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impact of multi-panel receiving</w:t>
      </w:r>
      <w:r>
        <w:rPr>
          <w:rFonts w:eastAsia="宋体"/>
          <w:bCs/>
          <w:color w:val="auto"/>
          <w:sz w:val="21"/>
          <w:szCs w:val="21"/>
          <w:lang w:val="en-GB" w:eastAsia="zh-CN"/>
        </w:rPr>
        <w:t>:</w:t>
      </w:r>
    </w:p>
    <w:p>
      <w:pPr>
        <w:numPr>
          <w:ilvl w:val="0"/>
          <w:numId w:val="0"/>
        </w:numPr>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 xml:space="preserve">Proposal 1: Not need to enhance receiver requirement for multi-panel reception unless the necessity can be found.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R4-2</w:t>
      </w:r>
      <w:r>
        <w:rPr>
          <w:rFonts w:hint="eastAsia"/>
          <w:color w:val="auto"/>
          <w:highlight w:val="none"/>
          <w:lang w:val="en-US" w:eastAsia="zh-CN"/>
        </w:rPr>
        <w:t>114994</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FeMIMO impacts to RF requirements</w:t>
      </w:r>
      <w:r>
        <w:rPr>
          <w:rFonts w:hint="default"/>
          <w:color w:val="auto"/>
          <w:lang w:val="en-US" w:eastAsia="zh-CN"/>
        </w:rPr>
        <w:t>”</w:t>
      </w:r>
      <w:r>
        <w:rPr>
          <w:rFonts w:hint="eastAsia"/>
          <w:color w:val="auto"/>
          <w:lang w:val="en-US" w:eastAsia="zh-CN"/>
        </w:rPr>
        <w:t>, Samsung.</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680133E"/>
    <w:multiLevelType w:val="multilevel"/>
    <w:tmpl w:val="3680133E"/>
    <w:lvl w:ilvl="0" w:tentative="0">
      <w:start w:val="3"/>
      <w:numFmt w:val="bullet"/>
      <w:lvlText w:val="-"/>
      <w:lvlJc w:val="left"/>
      <w:pPr>
        <w:ind w:left="800" w:hanging="400"/>
      </w:pPr>
      <w:rPr>
        <w:rFonts w:hint="default" w:ascii="Times New Roman" w:hAnsi="Times New Roman"/>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4">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5200480"/>
    <w:rsid w:val="06AA1695"/>
    <w:rsid w:val="07CD3CDD"/>
    <w:rsid w:val="0CC1076F"/>
    <w:rsid w:val="0F4B67EF"/>
    <w:rsid w:val="0F5E2230"/>
    <w:rsid w:val="10845506"/>
    <w:rsid w:val="10DA5664"/>
    <w:rsid w:val="12CB53F3"/>
    <w:rsid w:val="13060AA5"/>
    <w:rsid w:val="16133E3F"/>
    <w:rsid w:val="16E7731D"/>
    <w:rsid w:val="17542C92"/>
    <w:rsid w:val="18AA5B3E"/>
    <w:rsid w:val="194122C5"/>
    <w:rsid w:val="19E55B24"/>
    <w:rsid w:val="1B5A5199"/>
    <w:rsid w:val="1BD31CD2"/>
    <w:rsid w:val="1F5C7CDA"/>
    <w:rsid w:val="205076B4"/>
    <w:rsid w:val="2082712A"/>
    <w:rsid w:val="21B11B74"/>
    <w:rsid w:val="231F3A56"/>
    <w:rsid w:val="24715F69"/>
    <w:rsid w:val="24EE4148"/>
    <w:rsid w:val="263D51AB"/>
    <w:rsid w:val="2B034D47"/>
    <w:rsid w:val="2CC92235"/>
    <w:rsid w:val="2D8824A9"/>
    <w:rsid w:val="2DBD3842"/>
    <w:rsid w:val="2DBD3CB8"/>
    <w:rsid w:val="2E1176AC"/>
    <w:rsid w:val="2ECB7AE0"/>
    <w:rsid w:val="2F196F3B"/>
    <w:rsid w:val="2F6A7113"/>
    <w:rsid w:val="30C973EB"/>
    <w:rsid w:val="33672BF5"/>
    <w:rsid w:val="3C4E1516"/>
    <w:rsid w:val="3D0F477C"/>
    <w:rsid w:val="3D6F2596"/>
    <w:rsid w:val="3FF32B7B"/>
    <w:rsid w:val="404F7A6B"/>
    <w:rsid w:val="40C765F3"/>
    <w:rsid w:val="40CC463F"/>
    <w:rsid w:val="42CE6A0F"/>
    <w:rsid w:val="42E26F89"/>
    <w:rsid w:val="43C320E4"/>
    <w:rsid w:val="455509E4"/>
    <w:rsid w:val="45F60A50"/>
    <w:rsid w:val="46157ABD"/>
    <w:rsid w:val="46280997"/>
    <w:rsid w:val="477801EF"/>
    <w:rsid w:val="47DB43C5"/>
    <w:rsid w:val="482A7FD5"/>
    <w:rsid w:val="4CC53F61"/>
    <w:rsid w:val="4D513299"/>
    <w:rsid w:val="4E6F0AEA"/>
    <w:rsid w:val="4EA56C23"/>
    <w:rsid w:val="4F0B3630"/>
    <w:rsid w:val="4F9305DC"/>
    <w:rsid w:val="4FBD6EC5"/>
    <w:rsid w:val="514C45A8"/>
    <w:rsid w:val="51B14BED"/>
    <w:rsid w:val="51CF00E7"/>
    <w:rsid w:val="52F664E7"/>
    <w:rsid w:val="52FE4FB2"/>
    <w:rsid w:val="54175BE1"/>
    <w:rsid w:val="544A23E1"/>
    <w:rsid w:val="560E743D"/>
    <w:rsid w:val="564B25D4"/>
    <w:rsid w:val="566165B2"/>
    <w:rsid w:val="56D06899"/>
    <w:rsid w:val="58E11E6E"/>
    <w:rsid w:val="590733E0"/>
    <w:rsid w:val="59E05DA7"/>
    <w:rsid w:val="5A151B9F"/>
    <w:rsid w:val="5A26004C"/>
    <w:rsid w:val="5D103461"/>
    <w:rsid w:val="5F7F3C30"/>
    <w:rsid w:val="60552863"/>
    <w:rsid w:val="6086070B"/>
    <w:rsid w:val="63357437"/>
    <w:rsid w:val="6544784D"/>
    <w:rsid w:val="65CD0C5C"/>
    <w:rsid w:val="65F872D3"/>
    <w:rsid w:val="66E759DF"/>
    <w:rsid w:val="68105991"/>
    <w:rsid w:val="68797DD1"/>
    <w:rsid w:val="68A411BE"/>
    <w:rsid w:val="6BD66290"/>
    <w:rsid w:val="6C7858D5"/>
    <w:rsid w:val="6CF36133"/>
    <w:rsid w:val="6DDE3DAF"/>
    <w:rsid w:val="70A55C85"/>
    <w:rsid w:val="7123768D"/>
    <w:rsid w:val="715F4C2D"/>
    <w:rsid w:val="76DB757D"/>
    <w:rsid w:val="77770209"/>
    <w:rsid w:val="77B7237F"/>
    <w:rsid w:val="7AB943F6"/>
    <w:rsid w:val="7C45431D"/>
    <w:rsid w:val="7C963B24"/>
    <w:rsid w:val="7DDD0501"/>
    <w:rsid w:val="7E2B63E7"/>
    <w:rsid w:val="7E935AFB"/>
    <w:rsid w:val="7FA91BE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2021-10-22T15:17:47Z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